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1B" w:rsidRDefault="00CC1D1B" w:rsidP="00CC1D1B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1020" cy="665480"/>
            <wp:effectExtent l="0" t="0" r="0" b="127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CC1D1B" w:rsidRDefault="00CC1D1B" w:rsidP="00CC1D1B">
      <w:pPr>
        <w:jc w:val="center"/>
        <w:rPr>
          <w:rFonts w:ascii="Times New Roman" w:hAnsi="Times New Roman"/>
          <w:b/>
          <w:sz w:val="16"/>
        </w:rPr>
      </w:pPr>
    </w:p>
    <w:p w:rsidR="00CC1D1B" w:rsidRDefault="00CC1D1B" w:rsidP="00CC1D1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CC1D1B" w:rsidRDefault="00CC1D1B" w:rsidP="00CC1D1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CC1D1B" w:rsidRDefault="00CC1D1B" w:rsidP="00CC1D1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CC1D1B" w:rsidRDefault="00CC1D1B" w:rsidP="00CC1D1B">
      <w:pPr>
        <w:spacing w:after="0"/>
        <w:rPr>
          <w:rFonts w:ascii="Times New Roman" w:hAnsi="Times New Roman"/>
          <w:b/>
          <w:sz w:val="28"/>
        </w:rPr>
      </w:pPr>
    </w:p>
    <w:p w:rsidR="00CC1D1B" w:rsidRDefault="00CC1D1B" w:rsidP="00CC1D1B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CC1D1B" w:rsidRDefault="00CC1D1B" w:rsidP="00CC1D1B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>
        <w:rPr>
          <w:rFonts w:ascii="Times New Roman" w:hAnsi="Times New Roman"/>
          <w:i/>
          <w:sz w:val="18"/>
          <w:szCs w:val="18"/>
        </w:rPr>
        <w:t>: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>
        <w:rPr>
          <w:rFonts w:ascii="Times New Roman" w:hAnsi="Times New Roman"/>
          <w:i/>
          <w:sz w:val="18"/>
          <w:szCs w:val="18"/>
        </w:rPr>
        <w:t>_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  <w:r w:rsidRPr="00CC1D1B">
        <w:rPr>
          <w:rFonts w:ascii="Times New Roman" w:hAnsi="Times New Roman"/>
          <w:i/>
          <w:sz w:val="18"/>
          <w:szCs w:val="18"/>
        </w:rPr>
        <w:t xml:space="preserve"> </w:t>
      </w:r>
    </w:p>
    <w:p w:rsidR="00CC1D1B" w:rsidRDefault="00CC1D1B" w:rsidP="00CC1D1B">
      <w:pPr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C1D1B" w:rsidRPr="00CF2917" w:rsidRDefault="00CC1D1B" w:rsidP="00CC1D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CC1D1B">
        <w:rPr>
          <w:rFonts w:ascii="Times New Roman" w:hAnsi="Times New Roman" w:cs="Times New Roman"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.2022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F2917">
        <w:rPr>
          <w:rFonts w:ascii="Times New Roman" w:hAnsi="Times New Roman" w:cs="Times New Roman"/>
          <w:sz w:val="24"/>
          <w:szCs w:val="24"/>
          <w:u w:val="single"/>
        </w:rPr>
        <w:t>46-10/</w:t>
      </w:r>
      <w:r w:rsidR="00CF2917" w:rsidRPr="00CF2917">
        <w:rPr>
          <w:rFonts w:ascii="Times New Roman" w:hAnsi="Times New Roman" w:cs="Times New Roman"/>
          <w:sz w:val="24"/>
          <w:szCs w:val="24"/>
          <w:u w:val="single"/>
          <w:lang w:val="en-US"/>
        </w:rPr>
        <w:t>29</w:t>
      </w:r>
    </w:p>
    <w:p w:rsidR="00CC1D1B" w:rsidRDefault="00CC1D1B" w:rsidP="00CC1D1B">
      <w:pPr>
        <w:rPr>
          <w:rFonts w:ascii="Times New Roman" w:hAnsi="Times New Roman" w:cs="Times New Roman"/>
          <w:sz w:val="24"/>
          <w:szCs w:val="24"/>
        </w:rPr>
      </w:pPr>
    </w:p>
    <w:p w:rsidR="00CC1D1B" w:rsidRDefault="00CC1D1B" w:rsidP="00CC1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C1D1B" w:rsidRDefault="00CC1D1B" w:rsidP="00CC1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экспертно-аналитического мероприятия</w:t>
      </w:r>
    </w:p>
    <w:p w:rsidR="00CC1D1B" w:rsidRDefault="00CC1D1B" w:rsidP="00CC1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«Оперативный контроль исполнения бюджета городского округа Домодедово</w:t>
      </w:r>
    </w:p>
    <w:p w:rsidR="00CC1D1B" w:rsidRDefault="00CC1D1B" w:rsidP="00CC1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за </w:t>
      </w:r>
      <w:r w:rsidRPr="00CC1D1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2022 года: мониторинг исполнения</w:t>
      </w:r>
    </w:p>
    <w:p w:rsidR="00CC1D1B" w:rsidRDefault="00CC1D1B" w:rsidP="00CC1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бюджета городского округа Домодедово за </w:t>
      </w:r>
      <w:r w:rsidRPr="00CC1D1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2022 года»</w:t>
      </w:r>
    </w:p>
    <w:p w:rsidR="00CC1D1B" w:rsidRDefault="00CC1D1B" w:rsidP="00CC1D1B"/>
    <w:p w:rsidR="00CC1D1B" w:rsidRDefault="00CC1D1B" w:rsidP="00CC1D1B"/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Счетной палатой городского округа Домодедово Московской области проведено экспертно-аналитическое мероприятие «Оперативный контроль исполнения бюджета городского округа Домодедово Московской области и подготовка информации о ходе исполнения бюджета городского округа Домодедово за </w:t>
      </w:r>
      <w:r w:rsidRPr="00CC1D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2022 года.</w:t>
      </w:r>
    </w:p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оперативного контроля исполнения бюджета городского округа Домодедово за отчетный период текущего года осуществлены в соответствии со стандартом внешнего муниципального финансового контроля «Оперативный контроль исполнения бюджета городского округа Домодедово Московской области на текущий финансовый год». </w:t>
      </w:r>
    </w:p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 состоянию на 01.</w:t>
      </w:r>
      <w:r w:rsidR="00862C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.2022г. объем поступлений в доход бюджета городского округа Домодедово составил </w:t>
      </w:r>
      <w:r w:rsidR="00862C65">
        <w:rPr>
          <w:rFonts w:ascii="Times New Roman" w:hAnsi="Times New Roman" w:cs="Times New Roman"/>
          <w:sz w:val="24"/>
          <w:szCs w:val="24"/>
        </w:rPr>
        <w:t>7 335 303,2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или 8</w:t>
      </w:r>
      <w:r w:rsidR="00862C65">
        <w:rPr>
          <w:rFonts w:ascii="Times New Roman" w:hAnsi="Times New Roman" w:cs="Times New Roman"/>
          <w:sz w:val="24"/>
          <w:szCs w:val="24"/>
        </w:rPr>
        <w:t>7,61</w:t>
      </w:r>
      <w:r>
        <w:rPr>
          <w:rFonts w:ascii="Times New Roman" w:hAnsi="Times New Roman" w:cs="Times New Roman"/>
          <w:sz w:val="24"/>
          <w:szCs w:val="24"/>
        </w:rPr>
        <w:t xml:space="preserve">% к утвержденным плановым назначениям,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CC1D1B" w:rsidRDefault="00CC1D1B" w:rsidP="00CC1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Поступления в бюджет городского округа Домодедово нало</w:t>
      </w:r>
      <w:r w:rsidR="00862C65">
        <w:rPr>
          <w:rFonts w:ascii="Times New Roman" w:hAnsi="Times New Roman" w:cs="Times New Roman"/>
          <w:sz w:val="24"/>
          <w:szCs w:val="24"/>
        </w:rPr>
        <w:t>говых и неналоговых доходов за 3</w:t>
      </w:r>
      <w:r>
        <w:rPr>
          <w:rFonts w:ascii="Times New Roman" w:hAnsi="Times New Roman" w:cs="Times New Roman"/>
          <w:sz w:val="24"/>
          <w:szCs w:val="24"/>
        </w:rPr>
        <w:t xml:space="preserve"> квартал 2022 года составили </w:t>
      </w:r>
      <w:r w:rsidR="00862C65">
        <w:rPr>
          <w:rFonts w:ascii="Times New Roman" w:hAnsi="Times New Roman" w:cs="Times New Roman"/>
          <w:sz w:val="24"/>
          <w:szCs w:val="24"/>
        </w:rPr>
        <w:t>3 895 497,4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или 97</w:t>
      </w:r>
      <w:r w:rsidR="00862C65">
        <w:rPr>
          <w:rFonts w:ascii="Times New Roman" w:hAnsi="Times New Roman" w:cs="Times New Roman"/>
          <w:sz w:val="24"/>
          <w:szCs w:val="24"/>
        </w:rPr>
        <w:t>,62</w:t>
      </w:r>
      <w:r>
        <w:rPr>
          <w:rFonts w:ascii="Times New Roman" w:hAnsi="Times New Roman" w:cs="Times New Roman"/>
          <w:sz w:val="24"/>
          <w:szCs w:val="24"/>
        </w:rPr>
        <w:t>% от утвержденных  плановых назначений;</w:t>
      </w:r>
    </w:p>
    <w:p w:rsidR="00CC1D1B" w:rsidRDefault="00CC1D1B" w:rsidP="00CC1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Объем безвозмездных поступлений в отчетном периоде 2022 года составил </w:t>
      </w:r>
      <w:r w:rsidR="001D55DD">
        <w:rPr>
          <w:rFonts w:ascii="Times New Roman" w:hAnsi="Times New Roman" w:cs="Times New Roman"/>
          <w:sz w:val="24"/>
          <w:szCs w:val="24"/>
        </w:rPr>
        <w:t>3 419 979,1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или 7</w:t>
      </w:r>
      <w:r w:rsidR="001D55DD">
        <w:rPr>
          <w:rFonts w:ascii="Times New Roman" w:hAnsi="Times New Roman" w:cs="Times New Roman"/>
          <w:sz w:val="24"/>
          <w:szCs w:val="24"/>
        </w:rPr>
        <w:t>8,45</w:t>
      </w:r>
      <w:r>
        <w:rPr>
          <w:rFonts w:ascii="Times New Roman" w:hAnsi="Times New Roman" w:cs="Times New Roman"/>
          <w:sz w:val="24"/>
          <w:szCs w:val="24"/>
        </w:rPr>
        <w:t xml:space="preserve">% от утвержденных плановых назначений; </w:t>
      </w:r>
    </w:p>
    <w:p w:rsidR="00CC1D1B" w:rsidRDefault="00CC1D1B" w:rsidP="00CC1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финансирование расходных обязательств городского округа Домодедово за </w:t>
      </w:r>
      <w:r w:rsidR="001D55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2022 года направлено </w:t>
      </w:r>
      <w:r w:rsidR="001D55DD">
        <w:rPr>
          <w:rFonts w:ascii="Times New Roman" w:hAnsi="Times New Roman" w:cs="Times New Roman"/>
          <w:sz w:val="24"/>
          <w:szCs w:val="24"/>
        </w:rPr>
        <w:t>6 456 517,6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расходов бюджета г</w:t>
      </w:r>
      <w:r w:rsidR="001D55DD">
        <w:rPr>
          <w:rFonts w:ascii="Times New Roman" w:hAnsi="Times New Roman" w:cs="Times New Roman"/>
          <w:sz w:val="24"/>
          <w:szCs w:val="24"/>
        </w:rPr>
        <w:t>ородского округа Домодедово за 3</w:t>
      </w:r>
      <w:r>
        <w:rPr>
          <w:rFonts w:ascii="Times New Roman" w:hAnsi="Times New Roman" w:cs="Times New Roman"/>
          <w:sz w:val="24"/>
          <w:szCs w:val="24"/>
        </w:rPr>
        <w:t xml:space="preserve"> квартал 2022 года по разделам бюджетной классификации по отношению к уточненным показателям представлена в таблице:</w:t>
      </w:r>
    </w:p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78"/>
        <w:gridCol w:w="2532"/>
        <w:gridCol w:w="993"/>
        <w:gridCol w:w="992"/>
        <w:gridCol w:w="992"/>
        <w:gridCol w:w="992"/>
        <w:gridCol w:w="993"/>
        <w:gridCol w:w="1099"/>
      </w:tblGrid>
      <w:tr w:rsidR="00CC1D1B" w:rsidTr="00CC1D1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Годовое</w:t>
            </w:r>
          </w:p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Кассовое</w:t>
            </w:r>
          </w:p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с начала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Факт. исполнение на 01.07.2022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 роста к соответствующему периоду 2021 года</w:t>
            </w:r>
          </w:p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C1D1B" w:rsidTr="00CC1D1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1 467 855,8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1 139 958,4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898 385,5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980 220,9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D55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</w:tr>
      <w:tr w:rsidR="00CC1D1B" w:rsidTr="00CC1D1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76 373,7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D55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D55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47 502,0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D55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D55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C1D1B" w:rsidTr="00CC1D1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55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55DD">
              <w:rPr>
                <w:rFonts w:ascii="Times New Roman" w:hAnsi="Times New Roman" w:cs="Times New Roman"/>
                <w:sz w:val="16"/>
                <w:szCs w:val="16"/>
              </w:rPr>
              <w:t>94 524,2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1 025 987,1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580 285,0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D55DD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398 866,6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D55DD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CC1D1B" w:rsidTr="00CC1D1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55DD">
              <w:rPr>
                <w:rFonts w:ascii="Times New Roman" w:hAnsi="Times New Roman" w:cs="Times New Roman"/>
                <w:sz w:val="16"/>
                <w:szCs w:val="16"/>
              </w:rPr>
              <w:t> 428 469,1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1 135 514,8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755 060,1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838 057,1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</w:tr>
      <w:tr w:rsidR="00CC1D1B" w:rsidTr="00CC1D1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1D55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D55DD">
              <w:rPr>
                <w:rFonts w:ascii="Times New Roman" w:hAnsi="Times New Roman" w:cs="Times New Roman"/>
                <w:sz w:val="16"/>
                <w:szCs w:val="16"/>
              </w:rPr>
              <w:t> 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6 511,5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</w:tr>
      <w:tr w:rsidR="00CC1D1B" w:rsidTr="00CC1D1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41FAB">
              <w:rPr>
                <w:rFonts w:ascii="Times New Roman" w:hAnsi="Times New Roman" w:cs="Times New Roman"/>
                <w:sz w:val="16"/>
                <w:szCs w:val="16"/>
              </w:rPr>
              <w:t> 528 285,2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4 320 356,9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3 076 704,7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2 722 258,4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FAB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</w:tr>
      <w:tr w:rsidR="00CC1D1B" w:rsidTr="00CC1D1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41FAB">
              <w:rPr>
                <w:rFonts w:ascii="Times New Roman" w:hAnsi="Times New Roman" w:cs="Times New Roman"/>
                <w:sz w:val="16"/>
                <w:szCs w:val="16"/>
              </w:rPr>
              <w:t>78 659,6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634 509,1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460 074,8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347 288,6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CC1D1B" w:rsidTr="00CC1D1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41FAB">
              <w:rPr>
                <w:rFonts w:ascii="Times New Roman" w:hAnsi="Times New Roman" w:cs="Times New Roman"/>
                <w:sz w:val="16"/>
                <w:szCs w:val="16"/>
              </w:rPr>
              <w:t>68 736,1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41FAB">
              <w:rPr>
                <w:rFonts w:ascii="Times New Roman" w:hAnsi="Times New Roman" w:cs="Times New Roman"/>
                <w:sz w:val="16"/>
                <w:szCs w:val="16"/>
              </w:rPr>
              <w:t>40 608,1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183 043,7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41FAB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841FAB">
              <w:rPr>
                <w:rFonts w:ascii="Times New Roman" w:hAnsi="Times New Roman" w:cs="Times New Roman"/>
                <w:sz w:val="16"/>
                <w:szCs w:val="16"/>
              </w:rPr>
              <w:t>6 981,0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41FAB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</w:tr>
      <w:tr w:rsidR="00CC1D1B" w:rsidTr="00CC1D1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792 696,1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550 047,1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383 807,9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FAB">
              <w:rPr>
                <w:rFonts w:ascii="Times New Roman" w:hAnsi="Times New Roman" w:cs="Times New Roman"/>
                <w:sz w:val="16"/>
                <w:szCs w:val="16"/>
              </w:rPr>
              <w:t>58 133,3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242,7</w:t>
            </w:r>
          </w:p>
        </w:tc>
      </w:tr>
      <w:tr w:rsidR="00CC1D1B" w:rsidTr="00CC1D1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2330CA" w:rsidP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841FAB">
              <w:rPr>
                <w:rFonts w:ascii="Times New Roman" w:hAnsi="Times New Roman" w:cs="Times New Roman"/>
                <w:sz w:val="16"/>
                <w:szCs w:val="16"/>
              </w:rPr>
              <w:t> 318,7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73 443,0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59 749,8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</w:t>
            </w:r>
            <w:r w:rsidR="00841F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50 185,1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FAB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</w:tr>
      <w:tr w:rsidR="00CC1D1B" w:rsidTr="00CC1D1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60 094,0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FAB">
              <w:rPr>
                <w:rFonts w:ascii="Times New Roman" w:hAnsi="Times New Roman" w:cs="Times New Roman"/>
                <w:sz w:val="16"/>
                <w:szCs w:val="16"/>
              </w:rPr>
              <w:t>8 667,0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FAB">
              <w:rPr>
                <w:rFonts w:ascii="Times New Roman" w:hAnsi="Times New Roman" w:cs="Times New Roman"/>
                <w:sz w:val="16"/>
                <w:szCs w:val="16"/>
              </w:rPr>
              <w:t>7 667,4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841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41FA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CC1D1B" w:rsidTr="00CC1D1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Pr="00FE4659" w:rsidRDefault="00CC1D1B" w:rsidP="00FE46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4659">
              <w:rPr>
                <w:rFonts w:ascii="Times New Roman" w:hAnsi="Times New Roman" w:cs="Times New Roman"/>
                <w:sz w:val="16"/>
                <w:szCs w:val="16"/>
              </w:rPr>
              <w:t>11 </w:t>
            </w:r>
            <w:r w:rsidR="00FE4659" w:rsidRPr="00FE4659">
              <w:rPr>
                <w:rFonts w:ascii="Times New Roman" w:hAnsi="Times New Roman" w:cs="Times New Roman"/>
                <w:sz w:val="16"/>
                <w:szCs w:val="16"/>
              </w:rPr>
              <w:t>718</w:t>
            </w:r>
            <w:r w:rsidRPr="00FE46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E4659" w:rsidRPr="00FE4659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  <w:r w:rsidRPr="00FE46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E4659" w:rsidRPr="00FE46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FE46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9225888,0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FE46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6 456 517,6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FE46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FE46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5 733 671,9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B" w:rsidRDefault="00CC1D1B" w:rsidP="00FE46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E4659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</w:tr>
    </w:tbl>
    <w:p w:rsidR="00CC1D1B" w:rsidRDefault="00CC1D1B" w:rsidP="00CC1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Бюджет городского округа Домодедово по итогам отчетного периода исполнен с превышением доходов над расходами, т.е. с профицитом в объеме </w:t>
      </w:r>
      <w:r w:rsidR="00FE4659">
        <w:rPr>
          <w:rFonts w:ascii="Times New Roman" w:hAnsi="Times New Roman" w:cs="Times New Roman"/>
          <w:sz w:val="24"/>
          <w:szCs w:val="24"/>
        </w:rPr>
        <w:t>878 785,6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Бюджет городского округа Домодедово в отчетном периоде социально ориентирован. </w:t>
      </w:r>
    </w:p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Общий объем средств, выделенных в период с 01.01.2022 по 30.0</w:t>
      </w:r>
      <w:r w:rsidR="00FE46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.2022  из резервного фонда Администрации городского округа Домодедово, составил </w:t>
      </w:r>
      <w:r w:rsidR="00FE4659">
        <w:rPr>
          <w:rFonts w:ascii="Times New Roman" w:hAnsi="Times New Roman" w:cs="Times New Roman"/>
          <w:sz w:val="24"/>
          <w:szCs w:val="24"/>
        </w:rPr>
        <w:t>1 200</w:t>
      </w:r>
      <w:r>
        <w:rPr>
          <w:rFonts w:ascii="Times New Roman" w:hAnsi="Times New Roman" w:cs="Times New Roman"/>
          <w:sz w:val="24"/>
          <w:szCs w:val="24"/>
        </w:rPr>
        <w:t xml:space="preserve"> 000,00 руб. </w:t>
      </w:r>
    </w:p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Результаты (выводы) экспертно-аналитического мероприятия:</w:t>
      </w:r>
    </w:p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Анализ исполнения бюджета г</w:t>
      </w:r>
      <w:r w:rsidR="00FE4659">
        <w:rPr>
          <w:rFonts w:ascii="Times New Roman" w:hAnsi="Times New Roman" w:cs="Times New Roman"/>
          <w:sz w:val="24"/>
          <w:szCs w:val="24"/>
        </w:rPr>
        <w:t>ородского округа Домодедово за 3</w:t>
      </w:r>
      <w:r>
        <w:rPr>
          <w:rFonts w:ascii="Times New Roman" w:hAnsi="Times New Roman" w:cs="Times New Roman"/>
          <w:sz w:val="24"/>
          <w:szCs w:val="24"/>
        </w:rPr>
        <w:t xml:space="preserve"> квартал 2022 года показал, что в целом исполнение обеспечивалось в соответствии с требованиями Бюджетного кодекса Российской Федерации, Закона Московской области от 10.12.2021г. №252/2021-ОЗ «О бюджете Московской области на 2022 год и на плановый период 2023 и 2024 годов», Положения о бюджетном процессе в городском округе Домодедово, Решения о бюджете городского округа Домодедово на 2022 год.</w:t>
      </w:r>
    </w:p>
    <w:p w:rsidR="00CC1D1B" w:rsidRDefault="00CC1D1B" w:rsidP="00CC1D1B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Доходы бюджета городского округа Домодедово сформированы в соответствии с законодательством о налогах и сборах и статьями 61.2, 62 Бюджетного кодекса Российской Федерации. Расходы бюджета городского округа Домодедово, осуществляемые в соответствии со сводной бюджетной росписью, составили в сумме </w:t>
      </w:r>
      <w:r w:rsidR="00FE4659">
        <w:rPr>
          <w:rFonts w:ascii="Times New Roman" w:hAnsi="Times New Roman" w:cs="Times New Roman"/>
          <w:sz w:val="24"/>
          <w:szCs w:val="24"/>
        </w:rPr>
        <w:t>6 456 517,6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Результатом исполнения бюджета городского округа Домодедово является профицит в сумме </w:t>
      </w:r>
      <w:r w:rsidR="00FE4659">
        <w:rPr>
          <w:rFonts w:ascii="Times New Roman" w:hAnsi="Times New Roman" w:cs="Times New Roman"/>
          <w:sz w:val="24"/>
          <w:szCs w:val="24"/>
        </w:rPr>
        <w:t>878 785,6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 результатам экспертно-аналитического мероприятия  нарушений порядка организации исполнения бюджета городского округа Домодедово не выявлено.</w:t>
      </w:r>
    </w:p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По результатам анализа исполнения бюджета г</w:t>
      </w:r>
      <w:r w:rsidR="00FE4659">
        <w:rPr>
          <w:rFonts w:ascii="Times New Roman" w:hAnsi="Times New Roman" w:cs="Times New Roman"/>
          <w:sz w:val="24"/>
          <w:szCs w:val="24"/>
        </w:rPr>
        <w:t>ородского округа Домодедово за 3</w:t>
      </w:r>
      <w:r>
        <w:rPr>
          <w:rFonts w:ascii="Times New Roman" w:hAnsi="Times New Roman" w:cs="Times New Roman"/>
          <w:sz w:val="24"/>
          <w:szCs w:val="24"/>
        </w:rPr>
        <w:t xml:space="preserve"> квартал 2022 года Счетная палата городского округа Домодедово предлагает следующее:</w:t>
      </w:r>
    </w:p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Финансовому управлению городского округа Домодедово и главным администраторам средств бюджета городского округа Домодедово обеспечить контроль за исполнением параметров Решения о бюджете городского округа Домодедово на 2022 год.</w:t>
      </w:r>
    </w:p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Заключение направлено Главе городского округа Домодедово Московской области и в Совет депутатов городского округа Домодедово Московской области.</w:t>
      </w:r>
    </w:p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D1B" w:rsidRDefault="00CC1D1B" w:rsidP="00CC1D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D1B" w:rsidRDefault="00CC1D1B" w:rsidP="00CC1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городского округа</w:t>
      </w:r>
    </w:p>
    <w:p w:rsidR="00CC1D1B" w:rsidRDefault="00CC1D1B" w:rsidP="00CC1D1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                                                                       Г.А. Копысова</w:t>
      </w:r>
    </w:p>
    <w:p w:rsidR="00CC1D1B" w:rsidRDefault="00CC1D1B" w:rsidP="00CC1D1B"/>
    <w:p w:rsidR="00CC1D1B" w:rsidRDefault="00CC1D1B" w:rsidP="00CC1D1B"/>
    <w:p w:rsidR="003D54B5" w:rsidRDefault="003D54B5"/>
    <w:sectPr w:rsidR="003D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1B"/>
    <w:rsid w:val="001D55DD"/>
    <w:rsid w:val="002330CA"/>
    <w:rsid w:val="003D54B5"/>
    <w:rsid w:val="00467406"/>
    <w:rsid w:val="004E2CA0"/>
    <w:rsid w:val="00841FAB"/>
    <w:rsid w:val="00862C65"/>
    <w:rsid w:val="00893FF2"/>
    <w:rsid w:val="00CC1D1B"/>
    <w:rsid w:val="00CE44DD"/>
    <w:rsid w:val="00CF2917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D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D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cp:lastPrinted>2022-10-24T07:42:00Z</cp:lastPrinted>
  <dcterms:created xsi:type="dcterms:W3CDTF">2022-10-24T11:20:00Z</dcterms:created>
  <dcterms:modified xsi:type="dcterms:W3CDTF">2022-10-24T11:20:00Z</dcterms:modified>
</cp:coreProperties>
</file>